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3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61"/>
        <w:gridCol w:w="230"/>
        <w:gridCol w:w="1244"/>
        <w:gridCol w:w="1024"/>
        <w:gridCol w:w="687"/>
        <w:gridCol w:w="1834"/>
        <w:gridCol w:w="31"/>
        <w:gridCol w:w="2712"/>
      </w:tblGrid>
      <w:tr w:rsidR="001C0C46" w:rsidRPr="000D7E15" w:rsidTr="00943518">
        <w:trPr>
          <w:jc w:val="center"/>
        </w:trPr>
        <w:tc>
          <w:tcPr>
            <w:tcW w:w="7011" w:type="dxa"/>
            <w:gridSpan w:val="7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1C0C46" w:rsidRPr="000D7E15" w:rsidRDefault="001C0C46" w:rsidP="00943518">
            <w:pPr>
              <w:rPr>
                <w:rFonts w:ascii="Calibri" w:hAnsi="Calibri"/>
                <w:sz w:val="28"/>
                <w:szCs w:val="28"/>
              </w:rPr>
            </w:pPr>
            <w:r w:rsidRPr="000D7E15">
              <w:rPr>
                <w:rFonts w:ascii="Calibri" w:hAnsi="Calibri"/>
                <w:b/>
                <w:sz w:val="28"/>
                <w:szCs w:val="28"/>
              </w:rPr>
              <w:t xml:space="preserve">OZNÁMENÍ ZMĚNY </w:t>
            </w:r>
          </w:p>
        </w:tc>
        <w:tc>
          <w:tcPr>
            <w:tcW w:w="2709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C0C46" w:rsidRPr="00AF1512" w:rsidRDefault="001C0C46" w:rsidP="00E468EB">
            <w:pPr>
              <w:rPr>
                <w:rFonts w:ascii="Calibri" w:hAnsi="Calibri"/>
                <w:color w:val="FF0000"/>
              </w:rPr>
            </w:pPr>
            <w:r w:rsidRPr="000D7E15">
              <w:rPr>
                <w:rFonts w:ascii="Calibri" w:hAnsi="Calibri"/>
                <w:sz w:val="28"/>
              </w:rPr>
              <w:t xml:space="preserve">číslo </w:t>
            </w:r>
            <w:r w:rsidR="00943518">
              <w:rPr>
                <w:rFonts w:ascii="Calibri" w:hAnsi="Calibri"/>
                <w:sz w:val="28"/>
              </w:rPr>
              <w:t>změny</w:t>
            </w:r>
            <w:r w:rsidRPr="000D7E15">
              <w:rPr>
                <w:rFonts w:ascii="Calibri" w:hAnsi="Calibri"/>
                <w:sz w:val="28"/>
              </w:rPr>
              <w:t xml:space="preserve">: </w:t>
            </w:r>
            <w:r w:rsidR="00AF1512">
              <w:rPr>
                <w:rFonts w:ascii="Calibri" w:hAnsi="Calibri"/>
                <w:sz w:val="28"/>
              </w:rPr>
              <w:t xml:space="preserve"> </w:t>
            </w:r>
            <w:r w:rsidR="00D35DEF" w:rsidRPr="003C4377">
              <w:rPr>
                <w:rFonts w:ascii="Calibri" w:hAnsi="Calibri"/>
                <w:b/>
                <w:sz w:val="28"/>
              </w:rPr>
              <w:t>0</w:t>
            </w:r>
            <w:r w:rsidR="00E468EB">
              <w:rPr>
                <w:rFonts w:ascii="Calibri" w:hAnsi="Calibri"/>
                <w:b/>
                <w:sz w:val="28"/>
              </w:rPr>
              <w:t>5</w:t>
            </w:r>
          </w:p>
        </w:tc>
      </w:tr>
      <w:tr w:rsidR="001C0C46" w:rsidRPr="000D7E15" w:rsidTr="00343E6B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  <w:vAlign w:val="center"/>
          </w:tcPr>
          <w:p w:rsidR="001C0C46" w:rsidRPr="000D7E15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Zhotovitel:</w:t>
            </w:r>
          </w:p>
        </w:tc>
        <w:tc>
          <w:tcPr>
            <w:tcW w:w="775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  <w:spacing w:val="30"/>
                <w:sz w:val="18"/>
                <w:szCs w:val="18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1C0C46" w:rsidRPr="000D7E15" w:rsidTr="00343E6B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:rsidR="001C0C46" w:rsidRPr="000D7E15" w:rsidRDefault="00DB3EA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Investor</w:t>
            </w:r>
            <w:r w:rsidR="001C0C46" w:rsidRPr="000D7E15">
              <w:rPr>
                <w:rFonts w:ascii="Calibri" w:hAnsi="Calibri" w:cs="Arial"/>
              </w:rPr>
              <w:t>:</w:t>
            </w:r>
          </w:p>
        </w:tc>
        <w:tc>
          <w:tcPr>
            <w:tcW w:w="5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>Diakonie ČCE - středisko BETLÉM</w:t>
            </w:r>
          </w:p>
        </w:tc>
        <w:tc>
          <w:tcPr>
            <w:tcW w:w="274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:rsidR="001C0C46" w:rsidRPr="000D7E15" w:rsidRDefault="000201C4" w:rsidP="00343E6B">
            <w:pPr>
              <w:spacing w:before="60" w:after="4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Datum:</w:t>
            </w:r>
          </w:p>
        </w:tc>
      </w:tr>
      <w:tr w:rsidR="001C0C46" w:rsidRPr="000D7E15" w:rsidTr="00343E6B">
        <w:trPr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:rsidR="00CF031A" w:rsidRPr="00343E6B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 xml:space="preserve">Název </w:t>
            </w:r>
            <w:r w:rsidR="00FC0CAD">
              <w:rPr>
                <w:rFonts w:ascii="Calibri" w:hAnsi="Calibri" w:cs="Arial"/>
              </w:rPr>
              <w:t>projektu</w:t>
            </w:r>
            <w:r w:rsidRPr="000D7E15">
              <w:rPr>
                <w:rFonts w:ascii="Calibri" w:hAnsi="Calibri" w:cs="Arial"/>
              </w:rPr>
              <w:t xml:space="preserve">: </w:t>
            </w:r>
            <w:r w:rsidR="00343E6B">
              <w:rPr>
                <w:rFonts w:ascii="Calibri" w:hAnsi="Calibri" w:cs="Arial"/>
              </w:rPr>
              <w:t xml:space="preserve">       </w:t>
            </w:r>
            <w:r w:rsidR="00343E6B"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943518" w:rsidRPr="000D7E15" w:rsidTr="00343E6B">
        <w:trPr>
          <w:trHeight w:val="479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943518" w:rsidRPr="000D7E15" w:rsidRDefault="00943518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Registrační číslo projektu:</w:t>
            </w:r>
            <w:r w:rsidR="00343E6B">
              <w:rPr>
                <w:rFonts w:ascii="Calibri" w:hAnsi="Calibri"/>
              </w:rPr>
              <w:t xml:space="preserve">  </w:t>
            </w:r>
            <w:r w:rsidR="00343E6B"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 w:val="restart"/>
            <w:tcBorders>
              <w:top w:val="single" w:sz="6" w:space="0" w:color="auto"/>
              <w:left w:val="single" w:sz="24" w:space="0" w:color="auto"/>
              <w:right w:val="nil"/>
            </w:tcBorders>
          </w:tcPr>
          <w:p w:rsidR="007F011F" w:rsidRPr="000D7E15" w:rsidRDefault="007F011F" w:rsidP="0082638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  <w:b/>
              </w:rPr>
              <w:t xml:space="preserve">Odkazy </w:t>
            </w:r>
            <w:r w:rsidR="00826385" w:rsidRPr="000D7E15">
              <w:rPr>
                <w:rFonts w:ascii="Calibri" w:hAnsi="Calibri"/>
                <w:b/>
              </w:rPr>
              <w:t>na</w:t>
            </w:r>
            <w:r w:rsidR="00826385" w:rsidRPr="000D7E15">
              <w:rPr>
                <w:rFonts w:ascii="Calibri" w:hAnsi="Calibri"/>
              </w:rPr>
              <w:t xml:space="preserve">                      </w:t>
            </w:r>
            <w:r w:rsidRPr="000D7E15">
              <w:rPr>
                <w:rFonts w:ascii="Calibri" w:hAnsi="Calibri"/>
              </w:rPr>
              <w:t>specifikaci: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                                        na výkresy: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rozpočtové podklady: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jinou část smlouvy:</w:t>
            </w: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 w:rsidP="00B628C5">
            <w:pPr>
              <w:rPr>
                <w:rFonts w:ascii="Calibri" w:hAnsi="Calibri"/>
                <w:b/>
              </w:rPr>
            </w:pP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>
            <w:pPr>
              <w:rPr>
                <w:rFonts w:ascii="Calibri" w:hAnsi="Calibri"/>
              </w:rPr>
            </w:pP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7D2CDE" w:rsidRDefault="007D2CDE" w:rsidP="00500C2E">
            <w:pPr>
              <w:rPr>
                <w:rFonts w:ascii="Calibri" w:hAnsi="Calibri"/>
                <w:b/>
                <w:color w:val="FF0000"/>
              </w:rPr>
            </w:pPr>
            <w:r w:rsidRPr="007D2CDE">
              <w:rPr>
                <w:rFonts w:ascii="Calibri" w:hAnsi="Calibri"/>
                <w:b/>
                <w:color w:val="FF0000"/>
              </w:rPr>
              <w:t xml:space="preserve"> </w:t>
            </w:r>
            <w:r w:rsidR="00500C2E" w:rsidRPr="007C420B">
              <w:rPr>
                <w:rFonts w:ascii="Calibri" w:hAnsi="Calibri"/>
                <w:b/>
              </w:rPr>
              <w:t xml:space="preserve">SO 100 D.1.1. / Díl </w:t>
            </w:r>
            <w:r w:rsidR="00500C2E">
              <w:rPr>
                <w:rFonts w:ascii="Calibri" w:hAnsi="Calibri"/>
                <w:b/>
              </w:rPr>
              <w:t>76</w:t>
            </w:r>
            <w:r w:rsidR="00500C2E">
              <w:rPr>
                <w:rFonts w:ascii="Calibri" w:hAnsi="Calibri"/>
                <w:b/>
              </w:rPr>
              <w:t>6</w:t>
            </w:r>
            <w:r w:rsidR="00500C2E" w:rsidRPr="007C420B">
              <w:rPr>
                <w:rFonts w:ascii="Calibri" w:hAnsi="Calibri"/>
                <w:b/>
              </w:rPr>
              <w:t xml:space="preserve"> </w:t>
            </w:r>
            <w:r w:rsidR="00500C2E">
              <w:rPr>
                <w:rFonts w:ascii="Calibri" w:hAnsi="Calibri"/>
                <w:b/>
              </w:rPr>
              <w:t xml:space="preserve"> </w:t>
            </w:r>
            <w:r w:rsidR="00500C2E" w:rsidRPr="007C420B">
              <w:rPr>
                <w:rFonts w:ascii="Calibri" w:hAnsi="Calibri"/>
                <w:b/>
              </w:rPr>
              <w:t>(</w:t>
            </w:r>
            <w:r w:rsidR="00500C2E" w:rsidRPr="008B0C61">
              <w:rPr>
                <w:rFonts w:ascii="Calibri" w:hAnsi="Calibri"/>
                <w:b/>
              </w:rPr>
              <w:t xml:space="preserve">Konstrukce </w:t>
            </w:r>
            <w:r w:rsidR="00500C2E">
              <w:rPr>
                <w:rFonts w:ascii="Calibri" w:hAnsi="Calibri"/>
                <w:b/>
              </w:rPr>
              <w:t>truhlářské</w:t>
            </w:r>
            <w:r w:rsidR="00500C2E" w:rsidRPr="007C420B">
              <w:rPr>
                <w:rFonts w:ascii="Calibri" w:hAnsi="Calibri"/>
                <w:b/>
              </w:rPr>
              <w:t>)</w:t>
            </w:r>
          </w:p>
        </w:tc>
      </w:tr>
      <w:tr w:rsidR="007F011F" w:rsidRPr="000D7E15" w:rsidTr="00943518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bottom w:val="nil"/>
              <w:right w:val="nil"/>
            </w:tcBorders>
          </w:tcPr>
          <w:p w:rsidR="007F011F" w:rsidRPr="000D7E15" w:rsidRDefault="007F011F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6285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>
            <w:pPr>
              <w:rPr>
                <w:rFonts w:ascii="Calibri" w:hAnsi="Calibri"/>
                <w:b/>
              </w:rPr>
            </w:pPr>
          </w:p>
        </w:tc>
      </w:tr>
      <w:tr w:rsidR="006521FA" w:rsidRPr="000D7E15" w:rsidTr="00943518">
        <w:trPr>
          <w:trHeight w:val="1895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4361F9" w:rsidRPr="000D7E15" w:rsidRDefault="004361F9" w:rsidP="002F4539">
            <w:pPr>
              <w:jc w:val="both"/>
              <w:rPr>
                <w:rFonts w:ascii="Calibri" w:hAnsi="Calibri"/>
                <w:b/>
              </w:rPr>
            </w:pPr>
          </w:p>
          <w:p w:rsidR="00343E6B" w:rsidRPr="00E52C3E" w:rsidRDefault="00F17234" w:rsidP="00A3782F">
            <w:pPr>
              <w:spacing w:after="120" w:line="280" w:lineRule="atLeast"/>
              <w:ind w:left="142" w:right="119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>Předmět změny:</w:t>
            </w:r>
            <w:r w:rsidR="0099650C">
              <w:rPr>
                <w:rStyle w:val="Siln"/>
                <w:rFonts w:ascii="Calibri" w:hAnsi="Calibri" w:cs="Arial"/>
                <w:bCs/>
              </w:rPr>
              <w:t xml:space="preserve"> </w:t>
            </w:r>
            <w:r w:rsidR="00B23137">
              <w:rPr>
                <w:rStyle w:val="Siln"/>
                <w:rFonts w:ascii="Calibri" w:hAnsi="Calibri" w:cs="Arial"/>
                <w:bCs/>
              </w:rPr>
              <w:t xml:space="preserve">Budou doplněny elektrické pohony a čidla na automatické otevírání dveří do chodby spojující obývací prostory </w:t>
            </w:r>
            <w:r w:rsidR="00B276BC">
              <w:rPr>
                <w:rStyle w:val="Siln"/>
                <w:rFonts w:ascii="Calibri" w:hAnsi="Calibri" w:cs="Arial"/>
                <w:bCs/>
              </w:rPr>
              <w:t>a ložnicovou část</w:t>
            </w:r>
            <w:r w:rsidR="00B23137">
              <w:rPr>
                <w:rStyle w:val="Siln"/>
                <w:rFonts w:ascii="Calibri" w:hAnsi="Calibri" w:cs="Arial"/>
                <w:bCs/>
              </w:rPr>
              <w:t xml:space="preserve">, a to </w:t>
            </w:r>
            <w:r w:rsidR="00914D17">
              <w:rPr>
                <w:rStyle w:val="Siln"/>
                <w:rFonts w:ascii="Calibri" w:hAnsi="Calibri" w:cs="Arial"/>
                <w:bCs/>
              </w:rPr>
              <w:t xml:space="preserve">ve II. a III. NP </w:t>
            </w:r>
            <w:r w:rsidR="00B276BC">
              <w:rPr>
                <w:rStyle w:val="Siln"/>
                <w:rFonts w:ascii="Calibri" w:hAnsi="Calibri" w:cs="Arial"/>
                <w:bCs/>
              </w:rPr>
              <w:t xml:space="preserve">budovy </w:t>
            </w:r>
            <w:r w:rsidR="00416852">
              <w:rPr>
                <w:rStyle w:val="Siln"/>
                <w:rFonts w:ascii="Calibri" w:hAnsi="Calibri" w:cs="Arial"/>
                <w:bCs/>
              </w:rPr>
              <w:t>(vícepráce)</w:t>
            </w:r>
          </w:p>
          <w:p w:rsidR="00344249" w:rsidRPr="00A3782F" w:rsidRDefault="006521FA" w:rsidP="00BD3AB4">
            <w:pPr>
              <w:spacing w:after="120" w:line="280" w:lineRule="atLeast"/>
              <w:ind w:left="142" w:right="119"/>
              <w:jc w:val="both"/>
              <w:rPr>
                <w:rFonts w:ascii="Calibri" w:hAnsi="Calibri"/>
              </w:rPr>
            </w:pPr>
            <w:r w:rsidRPr="00A3782F">
              <w:rPr>
                <w:rFonts w:ascii="Calibri" w:hAnsi="Calibri" w:cs="Arial"/>
                <w:b/>
              </w:rPr>
              <w:t>Popis a zdůvodnění změny:</w:t>
            </w:r>
            <w:r w:rsidR="00C648F3" w:rsidRPr="00A3782F">
              <w:rPr>
                <w:rFonts w:ascii="Calibri" w:hAnsi="Calibri" w:cs="Arial"/>
                <w:b/>
              </w:rPr>
              <w:t xml:space="preserve"> </w:t>
            </w:r>
            <w:r w:rsidR="00D35DEF" w:rsidRPr="00A3782F">
              <w:rPr>
                <w:rFonts w:ascii="Calibri" w:hAnsi="Calibri"/>
              </w:rPr>
              <w:t xml:space="preserve">Investor </w:t>
            </w:r>
            <w:r w:rsidR="00BD3AB4">
              <w:rPr>
                <w:rFonts w:ascii="Calibri" w:hAnsi="Calibri"/>
              </w:rPr>
              <w:t xml:space="preserve">až </w:t>
            </w:r>
            <w:r w:rsidR="00B23137" w:rsidRPr="00A3782F">
              <w:rPr>
                <w:rFonts w:ascii="Calibri" w:hAnsi="Calibri"/>
              </w:rPr>
              <w:t xml:space="preserve">v průběhu realizace projektu zjistil, že ačkoliv v architektonické studii bylo na jeho požadavek počítáno s elektrickým pohonem a  automatickým otevíráním dveří </w:t>
            </w:r>
            <w:r w:rsidR="00B23137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do chodby </w:t>
            </w:r>
            <w:r w:rsidR="00BD3AB4">
              <w:rPr>
                <w:rStyle w:val="Siln"/>
                <w:rFonts w:ascii="Calibri" w:hAnsi="Calibri" w:cs="Arial"/>
                <w:b w:val="0"/>
                <w:bCs/>
              </w:rPr>
              <w:t xml:space="preserve">č. </w:t>
            </w:r>
            <w:r w:rsidR="00B23137" w:rsidRPr="00A3782F">
              <w:rPr>
                <w:rStyle w:val="Siln"/>
                <w:rFonts w:ascii="Calibri" w:hAnsi="Calibri" w:cs="Arial"/>
                <w:b w:val="0"/>
                <w:bCs/>
              </w:rPr>
              <w:t>203</w:t>
            </w:r>
            <w:r w:rsidR="00BD3AB4">
              <w:rPr>
                <w:rStyle w:val="Siln"/>
                <w:rFonts w:ascii="Calibri" w:hAnsi="Calibri" w:cs="Arial"/>
                <w:b w:val="0"/>
                <w:bCs/>
              </w:rPr>
              <w:t xml:space="preserve"> a </w:t>
            </w:r>
            <w:r w:rsidR="00B23137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303 spojující obývací prostory a ložnicovou část ve II. a III. NP budovy, nebylo toto řešení </w:t>
            </w:r>
            <w:r w:rsidR="00A3782F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do projektu zapracováno. Protože je automatické otevírání </w:t>
            </w:r>
            <w:r w:rsidR="00B23137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nutné pro komfortní pohyb </w:t>
            </w:r>
            <w:r w:rsidR="00A3782F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uživatelů na </w:t>
            </w:r>
            <w:r w:rsidR="00B23137" w:rsidRPr="00A3782F">
              <w:rPr>
                <w:rStyle w:val="Siln"/>
                <w:rFonts w:ascii="Calibri" w:hAnsi="Calibri" w:cs="Arial"/>
                <w:b w:val="0"/>
                <w:bCs/>
              </w:rPr>
              <w:t>invalid</w:t>
            </w:r>
            <w:r w:rsidR="00A3782F"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ních vozících, bylo ve spolupráci s projektantem vybráno zařízení </w:t>
            </w:r>
            <w:r w:rsidR="00B23137" w:rsidRPr="00A3782F">
              <w:rPr>
                <w:rFonts w:ascii="Calibri" w:hAnsi="Calibri"/>
              </w:rPr>
              <w:t>Assa Abloy SW150</w:t>
            </w:r>
            <w:r w:rsidR="00A3782F" w:rsidRPr="00A3782F">
              <w:rPr>
                <w:rFonts w:ascii="Calibri" w:hAnsi="Calibri"/>
              </w:rPr>
              <w:t xml:space="preserve"> (elektrický pohon</w:t>
            </w:r>
            <w:r w:rsidR="00A3782F">
              <w:rPr>
                <w:rFonts w:ascii="Calibri" w:hAnsi="Calibri"/>
              </w:rPr>
              <w:t xml:space="preserve"> dveří</w:t>
            </w:r>
            <w:r w:rsidR="00A3782F" w:rsidRPr="00A3782F">
              <w:rPr>
                <w:rFonts w:ascii="Calibri" w:hAnsi="Calibri"/>
              </w:rPr>
              <w:t xml:space="preserve">) s ovládacími a bezpečnostními prvky nutnými pro bezproblémové užívání. </w:t>
            </w:r>
            <w:r w:rsidR="00745500" w:rsidRPr="00A3782F">
              <w:rPr>
                <w:rFonts w:ascii="Calibri" w:hAnsi="Calibri"/>
              </w:rPr>
              <w:t>T</w:t>
            </w:r>
            <w:r w:rsidR="00745500">
              <w:rPr>
                <w:rFonts w:ascii="Calibri" w:hAnsi="Calibri"/>
              </w:rPr>
              <w:t xml:space="preserve">ímto pohonem </w:t>
            </w:r>
            <w:r w:rsidR="00745500" w:rsidRPr="00A3782F">
              <w:rPr>
                <w:rFonts w:ascii="Calibri" w:hAnsi="Calibri"/>
              </w:rPr>
              <w:t xml:space="preserve">budou doplněny </w:t>
            </w:r>
            <w:r w:rsidR="00745500">
              <w:rPr>
                <w:rFonts w:ascii="Calibri" w:hAnsi="Calibri"/>
              </w:rPr>
              <w:t xml:space="preserve">celkem </w:t>
            </w:r>
            <w:r w:rsidR="00745500" w:rsidRPr="00A3782F">
              <w:rPr>
                <w:rFonts w:ascii="Calibri" w:hAnsi="Calibri"/>
              </w:rPr>
              <w:t>4 ks předmětných dveří sp</w:t>
            </w:r>
            <w:r w:rsidR="00745500">
              <w:rPr>
                <w:rFonts w:ascii="Calibri" w:hAnsi="Calibri"/>
              </w:rPr>
              <w:t>o</w:t>
            </w:r>
            <w:r w:rsidR="00745500" w:rsidRPr="00A3782F">
              <w:rPr>
                <w:rFonts w:ascii="Calibri" w:hAnsi="Calibri"/>
              </w:rPr>
              <w:t>jujících přes chodbu obývací a ložnicové prostory ve II. a III. NP</w:t>
            </w:r>
            <w:r w:rsidR="00745500">
              <w:rPr>
                <w:rFonts w:ascii="Calibri" w:hAnsi="Calibri"/>
              </w:rPr>
              <w:t xml:space="preserve"> budovy</w:t>
            </w:r>
            <w:r w:rsidR="00745500" w:rsidRPr="00A3782F">
              <w:rPr>
                <w:rFonts w:ascii="Calibri" w:hAnsi="Calibri"/>
              </w:rPr>
              <w:t>.</w:t>
            </w:r>
          </w:p>
        </w:tc>
      </w:tr>
      <w:tr w:rsidR="006521FA" w:rsidRPr="000D7E15" w:rsidTr="00943518">
        <w:trPr>
          <w:jc w:val="center"/>
        </w:trPr>
        <w:tc>
          <w:tcPr>
            <w:tcW w:w="5146" w:type="dxa"/>
            <w:gridSpan w:val="5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6521FA" w:rsidRPr="000D7E15" w:rsidRDefault="006521FA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Počet připojených listů specifikací:                             </w:t>
            </w:r>
            <w:r w:rsidRPr="000D7E15">
              <w:rPr>
                <w:rFonts w:ascii="Calibri" w:hAnsi="Calibri"/>
                <w:u w:val="single"/>
              </w:rPr>
              <w:t xml:space="preserve">            </w:t>
            </w:r>
          </w:p>
        </w:tc>
        <w:tc>
          <w:tcPr>
            <w:tcW w:w="45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6521FA" w:rsidRPr="0083261F" w:rsidRDefault="004367B5" w:rsidP="0083261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color w:val="FF0000"/>
              </w:rPr>
              <w:t xml:space="preserve">     </w:t>
            </w:r>
            <w:r w:rsidR="0083261F" w:rsidRPr="0083261F">
              <w:rPr>
                <w:rFonts w:ascii="Calibri" w:hAnsi="Calibri"/>
                <w:b/>
              </w:rPr>
              <w:t>1</w:t>
            </w:r>
          </w:p>
        </w:tc>
      </w:tr>
      <w:tr w:rsidR="00A377BD" w:rsidRPr="000D7E15" w:rsidTr="00943518">
        <w:trPr>
          <w:trHeight w:val="284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A377BD" w:rsidRDefault="00A377BD" w:rsidP="00A377BD">
            <w:pPr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Důvod vícepráce / méněpráce:</w:t>
            </w:r>
          </w:p>
          <w:p w:rsidR="006944A7" w:rsidRDefault="006944A7" w:rsidP="00A377BD">
            <w:pPr>
              <w:jc w:val="both"/>
              <w:rPr>
                <w:rFonts w:ascii="Calibri" w:hAnsi="Calibri"/>
              </w:rPr>
            </w:pPr>
          </w:p>
          <w:p w:rsidR="006944A7" w:rsidRPr="00EF627B" w:rsidRDefault="006944A7" w:rsidP="006944A7">
            <w:pPr>
              <w:jc w:val="both"/>
              <w:rPr>
                <w:rFonts w:ascii="Calibri" w:hAnsi="Calibri"/>
                <w:i/>
              </w:rPr>
            </w:pPr>
            <w:r w:rsidRPr="00EF627B">
              <w:rPr>
                <w:rFonts w:ascii="Calibri" w:hAnsi="Calibri"/>
                <w:i/>
              </w:rPr>
              <w:t>Zde jedn</w:t>
            </w:r>
            <w:r w:rsidR="00E8553D">
              <w:rPr>
                <w:rFonts w:ascii="Calibri" w:hAnsi="Calibri"/>
                <w:i/>
              </w:rPr>
              <w:t>označně uvést vazbu na zákon 134</w:t>
            </w:r>
            <w:r w:rsidRPr="00EF627B">
              <w:rPr>
                <w:rFonts w:ascii="Calibri" w:hAnsi="Calibri"/>
                <w:i/>
              </w:rPr>
              <w:t xml:space="preserve">/2016 o zadávaní veřejných zakázek. Zvláště pak § 222, změna závazku ze smlouvy na veřejnou zakázku. </w:t>
            </w:r>
          </w:p>
          <w:p w:rsidR="006944A7" w:rsidRPr="000D7E15" w:rsidRDefault="006944A7" w:rsidP="00A377BD">
            <w:pPr>
              <w:jc w:val="both"/>
              <w:rPr>
                <w:rFonts w:ascii="Calibri" w:hAnsi="Calibri"/>
              </w:rPr>
            </w:pPr>
          </w:p>
        </w:tc>
      </w:tr>
      <w:tr w:rsidR="004520F5" w:rsidRPr="000D7E15" w:rsidTr="00943518">
        <w:trPr>
          <w:trHeight w:val="412"/>
          <w:jc w:val="center"/>
        </w:trPr>
        <w:tc>
          <w:tcPr>
            <w:tcW w:w="2191" w:type="dxa"/>
            <w:gridSpan w:val="2"/>
            <w:tcBorders>
              <w:left w:val="single" w:sz="24" w:space="0" w:color="auto"/>
              <w:bottom w:val="nil"/>
              <w:right w:val="nil"/>
            </w:tcBorders>
          </w:tcPr>
          <w:p w:rsidR="004520F5" w:rsidRPr="00943518" w:rsidRDefault="004520F5" w:rsidP="00943B21">
            <w:pPr>
              <w:rPr>
                <w:rFonts w:ascii="Calibri" w:hAnsi="Calibri"/>
              </w:rPr>
            </w:pPr>
            <w:r w:rsidRPr="00943B21">
              <w:rPr>
                <w:rFonts w:ascii="Calibri" w:hAnsi="Calibri"/>
                <w:u w:val="single"/>
              </w:rPr>
              <w:t>odstavec 4, § 222</w:t>
            </w:r>
            <w:r>
              <w:rPr>
                <w:rFonts w:ascii="Calibri" w:hAnsi="Calibri"/>
              </w:rPr>
              <w:t xml:space="preserve"> </w:t>
            </w:r>
            <w:r w:rsidR="00943B21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43B21">
              <w:rPr>
                <w:rFonts w:ascii="Calibri" w:hAnsi="Calibri"/>
              </w:rPr>
              <w:instrText xml:space="preserve"> FORMCHECKBOX </w:instrText>
            </w:r>
            <w:r w:rsidR="00977533">
              <w:rPr>
                <w:rFonts w:ascii="Calibri" w:hAnsi="Calibri"/>
              </w:rPr>
            </w:r>
            <w:r w:rsidR="00977533">
              <w:rPr>
                <w:rFonts w:ascii="Calibri" w:hAnsi="Calibri"/>
              </w:rPr>
              <w:fldChar w:fldCharType="separate"/>
            </w:r>
            <w:r w:rsidR="00943B21">
              <w:rPr>
                <w:rFonts w:ascii="Calibri" w:hAnsi="Calibri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4520F5" w:rsidRPr="00943518" w:rsidRDefault="004520F5" w:rsidP="00943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5,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977533">
              <w:rPr>
                <w:rFonts w:ascii="Calibri" w:hAnsi="Calibri"/>
              </w:rPr>
            </w:r>
            <w:r w:rsidR="0097753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4520F5" w:rsidRPr="00943518" w:rsidRDefault="004520F5" w:rsidP="0094351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6,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977533">
              <w:rPr>
                <w:rFonts w:ascii="Calibri" w:hAnsi="Calibri"/>
              </w:rPr>
            </w:r>
            <w:r w:rsidR="0097753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709" w:type="dxa"/>
            <w:tcBorders>
              <w:left w:val="single" w:sz="6" w:space="0" w:color="auto"/>
              <w:bottom w:val="nil"/>
              <w:right w:val="single" w:sz="24" w:space="0" w:color="auto"/>
            </w:tcBorders>
          </w:tcPr>
          <w:p w:rsidR="004520F5" w:rsidRPr="000D7E15" w:rsidRDefault="004520F5" w:rsidP="00B628C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7,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 w:rsidR="00977533">
              <w:rPr>
                <w:rFonts w:ascii="Calibri" w:hAnsi="Calibri"/>
              </w:rPr>
            </w:r>
            <w:r w:rsidR="00977533"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</w:tr>
      <w:tr w:rsidR="00A377BD" w:rsidRPr="000D7E15" w:rsidTr="004367B5">
        <w:trPr>
          <w:trHeight w:val="276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671BFC" w:rsidRPr="000D7E15" w:rsidRDefault="00671BFC" w:rsidP="00344249">
            <w:pPr>
              <w:rPr>
                <w:rFonts w:ascii="Calibri" w:hAnsi="Calibri"/>
              </w:rPr>
            </w:pPr>
          </w:p>
        </w:tc>
      </w:tr>
      <w:tr w:rsidR="00A377BD" w:rsidRPr="000D7E15" w:rsidTr="00943518">
        <w:trPr>
          <w:trHeight w:val="1074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44249" w:rsidRPr="00943518" w:rsidRDefault="00B05767" w:rsidP="004367B5">
            <w:pPr>
              <w:pStyle w:val="Nadpis1"/>
              <w:spacing w:after="120"/>
              <w:rPr>
                <w:rFonts w:ascii="Calibri" w:hAnsi="Calibri"/>
                <w:b w:val="0"/>
              </w:rPr>
            </w:pPr>
            <w:r w:rsidRPr="000D7E15">
              <w:rPr>
                <w:rFonts w:ascii="Calibri" w:hAnsi="Calibri"/>
              </w:rPr>
              <w:t>Stanovisko technického dozoru</w:t>
            </w:r>
            <w:r w:rsidR="00A377BD" w:rsidRPr="000D7E15">
              <w:rPr>
                <w:rFonts w:ascii="Calibri" w:hAnsi="Calibri"/>
              </w:rPr>
              <w:t xml:space="preserve"> stavby:  </w:t>
            </w:r>
          </w:p>
          <w:p w:rsidR="00943518" w:rsidRPr="00394904" w:rsidRDefault="00943518" w:rsidP="004367B5">
            <w:pPr>
              <w:pStyle w:val="Nadpis1"/>
              <w:spacing w:after="120"/>
              <w:rPr>
                <w:rFonts w:ascii="Calibri" w:hAnsi="Calibri"/>
                <w:color w:val="FF0000"/>
              </w:rPr>
            </w:pPr>
          </w:p>
          <w:p w:rsidR="00343E6B" w:rsidRPr="00343E6B" w:rsidRDefault="00343E6B" w:rsidP="004367B5">
            <w:pPr>
              <w:spacing w:after="120"/>
            </w:pPr>
          </w:p>
          <w:p w:rsidR="00B05767" w:rsidRPr="000D7E15" w:rsidRDefault="00B05767" w:rsidP="004367B5">
            <w:pPr>
              <w:pStyle w:val="Nadpis1"/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Stanovisko projektanta stavby: </w:t>
            </w:r>
          </w:p>
          <w:p w:rsidR="00943518" w:rsidRDefault="00943518" w:rsidP="004367B5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</w:p>
          <w:p w:rsidR="00343E6B" w:rsidRPr="00343E6B" w:rsidRDefault="00343E6B" w:rsidP="004367B5">
            <w:pPr>
              <w:spacing w:after="120"/>
            </w:pPr>
          </w:p>
          <w:p w:rsidR="00344249" w:rsidRDefault="00201A44" w:rsidP="004367B5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Stan</w:t>
            </w:r>
            <w:r w:rsidR="00CB5B05">
              <w:rPr>
                <w:rFonts w:ascii="Calibri" w:hAnsi="Calibri"/>
              </w:rPr>
              <w:t xml:space="preserve">ovisko </w:t>
            </w:r>
            <w:r w:rsidR="00943518">
              <w:rPr>
                <w:rFonts w:ascii="Calibri" w:hAnsi="Calibri"/>
              </w:rPr>
              <w:t>investora</w:t>
            </w:r>
            <w:r w:rsidR="00B92F07">
              <w:rPr>
                <w:rFonts w:ascii="Calibri" w:hAnsi="Calibri"/>
              </w:rPr>
              <w:t>:</w:t>
            </w:r>
            <w:r w:rsidRPr="000D7E15">
              <w:rPr>
                <w:rFonts w:ascii="Calibri" w:hAnsi="Calibri"/>
              </w:rPr>
              <w:t xml:space="preserve">    </w:t>
            </w:r>
          </w:p>
          <w:p w:rsidR="00343E6B" w:rsidRDefault="00343E6B" w:rsidP="004367B5">
            <w:pPr>
              <w:spacing w:after="120"/>
            </w:pPr>
          </w:p>
          <w:p w:rsidR="00343E6B" w:rsidRPr="00343E6B" w:rsidRDefault="00343E6B" w:rsidP="00343E6B"/>
          <w:p w:rsidR="00943518" w:rsidRPr="00943518" w:rsidRDefault="00943518" w:rsidP="00943518"/>
        </w:tc>
      </w:tr>
      <w:tr w:rsidR="008257B9" w:rsidRPr="000D7E15" w:rsidTr="00A77D78">
        <w:trPr>
          <w:trHeight w:val="964"/>
          <w:jc w:val="center"/>
        </w:trPr>
        <w:tc>
          <w:tcPr>
            <w:tcW w:w="9720" w:type="dxa"/>
            <w:gridSpan w:val="8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257B9" w:rsidRPr="000D7E15" w:rsidRDefault="0059498C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Příloha:</w:t>
            </w:r>
            <w:r w:rsidR="008257B9" w:rsidRPr="000D7E15">
              <w:rPr>
                <w:rFonts w:ascii="Calibri" w:hAnsi="Calibri"/>
              </w:rPr>
              <w:t xml:space="preserve"> </w:t>
            </w:r>
          </w:p>
        </w:tc>
      </w:tr>
    </w:tbl>
    <w:p w:rsidR="006647BC" w:rsidRPr="006647BC" w:rsidRDefault="006647BC" w:rsidP="006647BC">
      <w:pPr>
        <w:rPr>
          <w:vanish/>
        </w:rPr>
      </w:pPr>
    </w:p>
    <w:tbl>
      <w:tblPr>
        <w:tblpPr w:leftFromText="141" w:rightFromText="141" w:vertAnchor="text" w:horzAnchor="margin" w:tblpXSpec="center" w:tblpY="74"/>
        <w:tblW w:w="960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1980"/>
        <w:gridCol w:w="1272"/>
        <w:gridCol w:w="3768"/>
      </w:tblGrid>
      <w:tr w:rsidR="00B05767" w:rsidRPr="000D7E15">
        <w:tc>
          <w:tcPr>
            <w:tcW w:w="5834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B05767" w:rsidRPr="000D7E15" w:rsidRDefault="00B05767" w:rsidP="00943518">
            <w:pPr>
              <w:pStyle w:val="Nadpis4"/>
              <w:framePr w:hSpace="0" w:wrap="auto" w:hAnchor="text" w:yAlign="inline"/>
              <w:rPr>
                <w:rFonts w:ascii="Calibri" w:hAnsi="Calibri"/>
                <w:color w:val="auto"/>
                <w:szCs w:val="28"/>
              </w:rPr>
            </w:pPr>
            <w:r w:rsidRPr="000D7E15">
              <w:rPr>
                <w:rFonts w:ascii="Calibri" w:hAnsi="Calibri"/>
                <w:color w:val="auto"/>
                <w:szCs w:val="28"/>
              </w:rPr>
              <w:lastRenderedPageBreak/>
              <w:t>ZMĚNOVÝ LIST</w:t>
            </w:r>
            <w:r w:rsidR="00177690">
              <w:rPr>
                <w:rFonts w:ascii="Calibri" w:hAnsi="Calibri"/>
                <w:color w:val="auto"/>
                <w:szCs w:val="28"/>
              </w:rPr>
              <w:t xml:space="preserve">  </w:t>
            </w:r>
          </w:p>
        </w:tc>
        <w:tc>
          <w:tcPr>
            <w:tcW w:w="376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943518" w:rsidP="00E468EB">
            <w:pPr>
              <w:rPr>
                <w:rFonts w:ascii="Calibri" w:hAnsi="Calibri"/>
              </w:rPr>
            </w:pPr>
            <w:r w:rsidRPr="00943518">
              <w:rPr>
                <w:rFonts w:ascii="Calibri" w:hAnsi="Calibri"/>
                <w:sz w:val="28"/>
              </w:rPr>
              <w:t>číslo změny:</w:t>
            </w:r>
            <w:r w:rsidR="00D35DEF">
              <w:rPr>
                <w:rFonts w:ascii="Calibri" w:hAnsi="Calibri"/>
                <w:sz w:val="28"/>
              </w:rPr>
              <w:t xml:space="preserve">            </w:t>
            </w:r>
            <w:r w:rsidR="007D2CDE" w:rsidRPr="003C4377">
              <w:rPr>
                <w:rFonts w:ascii="Calibri" w:hAnsi="Calibri"/>
                <w:b/>
                <w:sz w:val="28"/>
              </w:rPr>
              <w:t>0</w:t>
            </w:r>
            <w:r w:rsidR="00E468EB">
              <w:rPr>
                <w:rFonts w:ascii="Calibri" w:hAnsi="Calibri"/>
                <w:b/>
                <w:sz w:val="28"/>
              </w:rPr>
              <w:t>5</w:t>
            </w:r>
          </w:p>
        </w:tc>
      </w:tr>
      <w:tr w:rsidR="00B05767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Zhotovitel: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343E6B" w:rsidP="00B05767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Investor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343E6B" w:rsidRDefault="00343E6B" w:rsidP="00343E6B">
            <w:pPr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 xml:space="preserve">Diakonie ČCE - středisko BETLÉM 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343E6B" w:rsidRPr="000D7E15" w:rsidTr="004367B5">
        <w:trPr>
          <w:trHeight w:val="372"/>
        </w:trPr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Reg.</w:t>
            </w:r>
            <w:r w:rsidRPr="0034446F">
              <w:rPr>
                <w:rFonts w:ascii="Calibri" w:hAnsi="Calibri"/>
              </w:rPr>
              <w:t xml:space="preserve"> číslo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343E6B" w:rsidRPr="000D7E15" w:rsidTr="00DF7879">
        <w:trPr>
          <w:trHeight w:val="3594"/>
        </w:trPr>
        <w:tc>
          <w:tcPr>
            <w:tcW w:w="9602" w:type="dxa"/>
            <w:gridSpan w:val="4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</w:tcPr>
          <w:p w:rsidR="00343E6B" w:rsidRPr="003C4377" w:rsidRDefault="00343E6B" w:rsidP="00A3782F">
            <w:pPr>
              <w:spacing w:before="120" w:after="120"/>
              <w:ind w:left="52" w:right="215"/>
              <w:rPr>
                <w:rFonts w:ascii="Calibri" w:hAnsi="Calibri"/>
                <w:u w:val="single"/>
              </w:rPr>
            </w:pPr>
            <w:r w:rsidRPr="003C4377">
              <w:rPr>
                <w:rFonts w:ascii="Calibri" w:hAnsi="Calibri"/>
                <w:u w:val="single"/>
              </w:rPr>
              <w:t>Podepsaní zmocněnci potvrzují v souladu se Smlouvou o dílo tuto změnu rozsahu díla:</w:t>
            </w:r>
          </w:p>
          <w:p w:rsidR="00A3782F" w:rsidRPr="00E52C3E" w:rsidRDefault="00A3782F" w:rsidP="00A3782F">
            <w:pPr>
              <w:spacing w:after="120" w:line="280" w:lineRule="atLeast"/>
              <w:ind w:left="52" w:right="119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>Předmět změny:</w:t>
            </w:r>
            <w:r>
              <w:rPr>
                <w:rStyle w:val="Siln"/>
                <w:rFonts w:ascii="Calibri" w:hAnsi="Calibri" w:cs="Arial"/>
                <w:bCs/>
              </w:rPr>
              <w:t xml:space="preserve"> Budou doplněny elektrické pohony a čidla na automatické otevírání dveří do chodby spojující obývací prostory a ložnicovou část, a to ve II. a III. NP budovy (vícepráce)</w:t>
            </w:r>
          </w:p>
          <w:p w:rsidR="00343E6B" w:rsidRPr="000D7E15" w:rsidRDefault="00A3782F" w:rsidP="00745500">
            <w:pPr>
              <w:spacing w:after="240"/>
              <w:ind w:left="51"/>
              <w:jc w:val="both"/>
              <w:rPr>
                <w:rFonts w:ascii="Calibri" w:hAnsi="Calibri"/>
              </w:rPr>
            </w:pPr>
            <w:r w:rsidRPr="00A3782F">
              <w:rPr>
                <w:rFonts w:ascii="Calibri" w:hAnsi="Calibri" w:cs="Arial"/>
                <w:b/>
              </w:rPr>
              <w:t xml:space="preserve">Popis a zdůvodnění změny: </w:t>
            </w:r>
            <w:r w:rsidRPr="00A3782F">
              <w:rPr>
                <w:rFonts w:ascii="Calibri" w:hAnsi="Calibri"/>
              </w:rPr>
              <w:t xml:space="preserve">Investor až v průběhu realizace projektu zjistil, že ačkoliv v architektonické studii bylo na jeho požadavek počítáno s elektrickým pohonem a  automatickým otevíráním dveří </w:t>
            </w:r>
            <w:r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do chodby </w:t>
            </w:r>
            <w:r w:rsidR="00BD3AB4">
              <w:rPr>
                <w:rStyle w:val="Siln"/>
                <w:rFonts w:ascii="Calibri" w:hAnsi="Calibri" w:cs="Arial"/>
                <w:b w:val="0"/>
                <w:bCs/>
              </w:rPr>
              <w:t xml:space="preserve">č. </w:t>
            </w:r>
            <w:r w:rsidRPr="00A3782F">
              <w:rPr>
                <w:rStyle w:val="Siln"/>
                <w:rFonts w:ascii="Calibri" w:hAnsi="Calibri" w:cs="Arial"/>
                <w:b w:val="0"/>
                <w:bCs/>
              </w:rPr>
              <w:t>203+303 spojující obývací prostory a ložnicovou část ve II. a III. NP budovy, nebylo toto řešení do projektu zapracováno. Protože je automatické otevírání nutné pro komfortní pohyb uživatelů na invalidníc</w:t>
            </w:r>
            <w:bookmarkStart w:id="0" w:name="_GoBack"/>
            <w:bookmarkEnd w:id="0"/>
            <w:r w:rsidRPr="00A3782F">
              <w:rPr>
                <w:rStyle w:val="Siln"/>
                <w:rFonts w:ascii="Calibri" w:hAnsi="Calibri" w:cs="Arial"/>
                <w:b w:val="0"/>
                <w:bCs/>
              </w:rPr>
              <w:t xml:space="preserve">h vozících, bylo ve spolupráci s projektantem vybráno zařízení </w:t>
            </w:r>
            <w:r w:rsidRPr="00A3782F">
              <w:rPr>
                <w:rFonts w:ascii="Calibri" w:hAnsi="Calibri"/>
              </w:rPr>
              <w:t>Assa Abloy SW150 (elektrický pohon</w:t>
            </w:r>
            <w:r>
              <w:rPr>
                <w:rFonts w:ascii="Calibri" w:hAnsi="Calibri"/>
              </w:rPr>
              <w:t xml:space="preserve"> dveří</w:t>
            </w:r>
            <w:r w:rsidRPr="00A3782F">
              <w:rPr>
                <w:rFonts w:ascii="Calibri" w:hAnsi="Calibri"/>
              </w:rPr>
              <w:t>) s ovládacími a bezpečnostními prvky nutnými pro bezproblémové užívání. T</w:t>
            </w:r>
            <w:r w:rsidR="00745500">
              <w:rPr>
                <w:rFonts w:ascii="Calibri" w:hAnsi="Calibri"/>
              </w:rPr>
              <w:t xml:space="preserve">ímto pohonem </w:t>
            </w:r>
            <w:r w:rsidRPr="00A3782F">
              <w:rPr>
                <w:rFonts w:ascii="Calibri" w:hAnsi="Calibri"/>
              </w:rPr>
              <w:t xml:space="preserve">budou doplněny </w:t>
            </w:r>
            <w:r w:rsidR="00745500">
              <w:rPr>
                <w:rFonts w:ascii="Calibri" w:hAnsi="Calibri"/>
              </w:rPr>
              <w:t xml:space="preserve">celkem </w:t>
            </w:r>
            <w:r w:rsidRPr="00A3782F">
              <w:rPr>
                <w:rFonts w:ascii="Calibri" w:hAnsi="Calibri"/>
              </w:rPr>
              <w:t>4 ks předmětných dveří sp</w:t>
            </w:r>
            <w:r>
              <w:rPr>
                <w:rFonts w:ascii="Calibri" w:hAnsi="Calibri"/>
              </w:rPr>
              <w:t>o</w:t>
            </w:r>
            <w:r w:rsidRPr="00A3782F">
              <w:rPr>
                <w:rFonts w:ascii="Calibri" w:hAnsi="Calibri"/>
              </w:rPr>
              <w:t>jujících přes chodbu obývací a ložnicové prostory ve II. a III. NP</w:t>
            </w:r>
            <w:r w:rsidR="00745500">
              <w:rPr>
                <w:rFonts w:ascii="Calibri" w:hAnsi="Calibri"/>
              </w:rPr>
              <w:t xml:space="preserve"> budovy</w:t>
            </w:r>
            <w:r w:rsidRPr="00A3782F">
              <w:rPr>
                <w:rFonts w:ascii="Calibri" w:hAnsi="Calibri"/>
              </w:rPr>
              <w:t>.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listů specifikací:</w:t>
            </w:r>
            <w:r w:rsidR="0083261F">
              <w:rPr>
                <w:rFonts w:ascii="Calibri" w:hAnsi="Calibri"/>
              </w:rPr>
              <w:t xml:space="preserve">    </w:t>
            </w:r>
            <w:r w:rsidR="0083261F" w:rsidRPr="0083261F">
              <w:rPr>
                <w:rFonts w:ascii="Calibri" w:hAnsi="Calibri"/>
                <w:b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výkresů:</w:t>
            </w:r>
          </w:p>
        </w:tc>
      </w:tr>
      <w:tr w:rsidR="00DF7879" w:rsidRPr="000D7E15">
        <w:trPr>
          <w:trHeight w:val="1037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méněprací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BF560B" w:rsidP="00A8351E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="00A003FA">
              <w:rPr>
                <w:rFonts w:ascii="Calibri" w:hAnsi="Calibri"/>
                <w:b/>
              </w:rPr>
              <w:t xml:space="preserve">   </w:t>
            </w:r>
            <w:r w:rsidR="00A8351E">
              <w:rPr>
                <w:rFonts w:ascii="Calibri" w:hAnsi="Calibri"/>
                <w:b/>
              </w:rPr>
              <w:t>0</w:t>
            </w:r>
            <w:r w:rsidR="00DF7879" w:rsidRPr="000D7E15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="00DF7879" w:rsidRPr="000D7E15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víceprací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BF560B" w:rsidP="00C11C6B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</w:t>
            </w:r>
            <w:r w:rsidR="00C11C6B">
              <w:rPr>
                <w:rFonts w:ascii="Calibri" w:hAnsi="Calibri"/>
                <w:b/>
              </w:rPr>
              <w:t>231.960</w:t>
            </w:r>
            <w:r w:rsidR="00DF7879" w:rsidRPr="000D7E15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>00</w:t>
            </w:r>
            <w:r w:rsidR="00DF7879" w:rsidRPr="000D7E15">
              <w:rPr>
                <w:rFonts w:ascii="Calibri" w:hAnsi="Calibri"/>
                <w:b/>
              </w:rPr>
              <w:t xml:space="preserve"> Kč</w:t>
            </w:r>
          </w:p>
        </w:tc>
      </w:tr>
      <w:tr w:rsidR="00DF7879" w:rsidRPr="000D7E15" w:rsidTr="004367B5">
        <w:trPr>
          <w:trHeight w:val="964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Výsledná cena změny bez DPH: 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AE0A26" w:rsidRDefault="00DF7879" w:rsidP="00C11C6B">
            <w:pPr>
              <w:spacing w:after="120"/>
              <w:rPr>
                <w:rFonts w:ascii="Calibri" w:hAnsi="Calibri"/>
                <w:b/>
              </w:rPr>
            </w:pPr>
            <w:r w:rsidRPr="00AE0A26">
              <w:rPr>
                <w:rFonts w:ascii="Calibri" w:hAnsi="Calibri"/>
                <w:b/>
              </w:rPr>
              <w:t xml:space="preserve">                        </w:t>
            </w:r>
            <w:r w:rsidR="00C11C6B">
              <w:rPr>
                <w:rFonts w:ascii="Calibri" w:hAnsi="Calibri"/>
                <w:b/>
              </w:rPr>
              <w:t>231.960</w:t>
            </w:r>
            <w:r w:rsidRPr="00AE0A26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Pr="00AE0A26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Výsledná cena změny včetně 15% DPH</w:t>
            </w:r>
            <w:r w:rsidRPr="000D7E15">
              <w:rPr>
                <w:rFonts w:ascii="Calibri" w:hAnsi="Calibri"/>
              </w:rPr>
              <w:t>: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4367B5" w:rsidRDefault="00BF560B" w:rsidP="00B16C5B">
            <w:pPr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 </w:t>
            </w:r>
            <w:r w:rsidR="00B16C5B">
              <w:rPr>
                <w:rFonts w:ascii="Calibri" w:hAnsi="Calibri"/>
                <w:b/>
              </w:rPr>
              <w:t>266.754</w:t>
            </w:r>
            <w:r w:rsidR="00DF7879" w:rsidRPr="00607F9E">
              <w:rPr>
                <w:rFonts w:ascii="Calibri" w:hAnsi="Calibri"/>
                <w:b/>
              </w:rPr>
              <w:t>,</w:t>
            </w:r>
            <w:r w:rsidR="00B16C5B">
              <w:rPr>
                <w:rFonts w:ascii="Calibri" w:hAnsi="Calibri"/>
                <w:b/>
              </w:rPr>
              <w:t>00</w:t>
            </w:r>
            <w:r w:rsidR="00A003FA">
              <w:rPr>
                <w:rFonts w:ascii="Calibri" w:hAnsi="Calibri"/>
                <w:b/>
              </w:rPr>
              <w:t xml:space="preserve"> </w:t>
            </w:r>
            <w:r w:rsidR="00DF7879" w:rsidRPr="00607F9E">
              <w:rPr>
                <w:rFonts w:ascii="Calibri" w:hAnsi="Calibri"/>
                <w:b/>
              </w:rPr>
              <w:t>Kč</w:t>
            </w:r>
          </w:p>
        </w:tc>
      </w:tr>
      <w:tr w:rsidR="00343E6B" w:rsidRPr="000D7E15" w:rsidTr="004367B5">
        <w:trPr>
          <w:trHeight w:val="439"/>
        </w:trPr>
        <w:tc>
          <w:tcPr>
            <w:tcW w:w="456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75307E" w:rsidP="004367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</w:t>
            </w:r>
            <w:r w:rsidR="00DF7879">
              <w:rPr>
                <w:rFonts w:ascii="Calibri" w:hAnsi="Calibri"/>
              </w:rPr>
              <w:t>ě</w:t>
            </w:r>
            <w:r>
              <w:rPr>
                <w:rFonts w:ascii="Calibri" w:hAnsi="Calibri"/>
              </w:rPr>
              <w:t xml:space="preserve"> sjednaná </w:t>
            </w:r>
            <w:r w:rsidR="00343E6B" w:rsidRPr="000D7E15">
              <w:rPr>
                <w:rFonts w:ascii="Calibri" w:hAnsi="Calibri"/>
              </w:rPr>
              <w:t xml:space="preserve">cena </w:t>
            </w:r>
            <w:r>
              <w:rPr>
                <w:rFonts w:ascii="Calibri" w:hAnsi="Calibri"/>
              </w:rPr>
              <w:t xml:space="preserve">díla bez </w:t>
            </w:r>
            <w:r w:rsidR="00343E6B" w:rsidRPr="000D7E15">
              <w:rPr>
                <w:rFonts w:ascii="Calibri" w:hAnsi="Calibri"/>
              </w:rPr>
              <w:t xml:space="preserve">DPH: </w:t>
            </w:r>
          </w:p>
        </w:tc>
        <w:tc>
          <w:tcPr>
            <w:tcW w:w="5040" w:type="dxa"/>
            <w:gridSpan w:val="2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4367B5" w:rsidRPr="000D7E15" w:rsidRDefault="00343E6B" w:rsidP="004367B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Nově sjednaná </w:t>
            </w:r>
            <w:r>
              <w:rPr>
                <w:rFonts w:ascii="Calibri" w:hAnsi="Calibri"/>
              </w:rPr>
              <w:t>cena</w:t>
            </w:r>
            <w:r w:rsidRPr="000D7E15">
              <w:rPr>
                <w:rFonts w:ascii="Calibri" w:hAnsi="Calibri"/>
              </w:rPr>
              <w:t xml:space="preserve"> díla</w:t>
            </w:r>
            <w:r w:rsidR="0075307E">
              <w:rPr>
                <w:rFonts w:ascii="Calibri" w:hAnsi="Calibri"/>
              </w:rPr>
              <w:t xml:space="preserve"> včetně DPH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 w:rsidTr="004367B5">
        <w:trPr>
          <w:trHeight w:val="560"/>
        </w:trPr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4367B5" w:rsidP="004367B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         </w:t>
            </w:r>
            <w:r w:rsidR="00B805A2">
              <w:t xml:space="preserve"> </w:t>
            </w:r>
            <w:r w:rsidR="00F01D2F" w:rsidRPr="00F01D2F">
              <w:rPr>
                <w:rFonts w:ascii="Calibri" w:hAnsi="Calibri"/>
                <w:b/>
              </w:rPr>
              <w:t>43</w:t>
            </w:r>
            <w:r w:rsidR="00F01D2F">
              <w:rPr>
                <w:rFonts w:ascii="Calibri" w:hAnsi="Calibri"/>
                <w:b/>
              </w:rPr>
              <w:t>.</w:t>
            </w:r>
            <w:r w:rsidR="00F01D2F" w:rsidRPr="00F01D2F">
              <w:rPr>
                <w:rFonts w:ascii="Calibri" w:hAnsi="Calibri"/>
                <w:b/>
              </w:rPr>
              <w:t>613</w:t>
            </w:r>
            <w:r w:rsidR="00F01D2F">
              <w:rPr>
                <w:rFonts w:ascii="Calibri" w:hAnsi="Calibri"/>
                <w:b/>
              </w:rPr>
              <w:t>.</w:t>
            </w:r>
            <w:r w:rsidR="00F01D2F" w:rsidRPr="00F01D2F">
              <w:rPr>
                <w:rFonts w:ascii="Calibri" w:hAnsi="Calibri"/>
                <w:b/>
              </w:rPr>
              <w:t>416</w:t>
            </w:r>
            <w:r w:rsidR="00343E6B" w:rsidRPr="000D7E15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="00343E6B" w:rsidRPr="000D7E15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1F7472" w:rsidP="004367B5">
            <w:pPr>
              <w:jc w:val="center"/>
              <w:rPr>
                <w:rFonts w:ascii="Calibri" w:hAnsi="Calibri"/>
              </w:rPr>
            </w:pPr>
            <w:r w:rsidRPr="001F7472">
              <w:rPr>
                <w:rFonts w:ascii="Calibri" w:hAnsi="Calibri"/>
                <w:b/>
              </w:rPr>
              <w:t>50</w:t>
            </w:r>
            <w:r>
              <w:rPr>
                <w:rFonts w:ascii="Calibri" w:hAnsi="Calibri"/>
                <w:b/>
              </w:rPr>
              <w:t>.</w:t>
            </w:r>
            <w:r w:rsidRPr="001F7472">
              <w:rPr>
                <w:rFonts w:ascii="Calibri" w:hAnsi="Calibri"/>
                <w:b/>
              </w:rPr>
              <w:t>195</w:t>
            </w:r>
            <w:r>
              <w:rPr>
                <w:rFonts w:ascii="Calibri" w:hAnsi="Calibri"/>
                <w:b/>
              </w:rPr>
              <w:t>.</w:t>
            </w:r>
            <w:r w:rsidRPr="001F7472">
              <w:rPr>
                <w:rFonts w:ascii="Calibri" w:hAnsi="Calibri"/>
                <w:b/>
              </w:rPr>
              <w:t>696</w:t>
            </w:r>
            <w:r w:rsidR="00A003FA" w:rsidRPr="00A003FA">
              <w:rPr>
                <w:rFonts w:ascii="Calibri" w:hAnsi="Calibri"/>
                <w:b/>
              </w:rPr>
              <w:t>,</w:t>
            </w:r>
            <w:r w:rsidR="0075307E" w:rsidRPr="000D7E15">
              <w:rPr>
                <w:rFonts w:ascii="Calibri" w:hAnsi="Calibri"/>
                <w:b/>
              </w:rPr>
              <w:t>- Kč</w:t>
            </w:r>
          </w:p>
        </w:tc>
      </w:tr>
      <w:tr w:rsidR="00343E6B" w:rsidRPr="000D7E15" w:rsidTr="00DF7879">
        <w:tc>
          <w:tcPr>
            <w:tcW w:w="9602" w:type="dxa"/>
            <w:gridSpan w:val="4"/>
            <w:tcBorders>
              <w:top w:val="single" w:sz="2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6650D2">
            <w:pPr>
              <w:spacing w:before="120"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Veškeré práce budou splňovat podmínky smlouvy o dílo a budou provedeny ve stejné úrovni co do jakosti materiálů, provedení apod. tak, jak požaduje nebo předpokládá Dokumentace zakázky pro celé dílo.</w:t>
            </w:r>
            <w:r>
              <w:rPr>
                <w:rFonts w:ascii="Calibri" w:hAnsi="Calibri"/>
              </w:rPr>
              <w:t xml:space="preserve"> Lhůta pro dokončení díla zůstává nezměněná.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investora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  <w:u w:val="single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Zhotovitele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35DEF" w:rsidRDefault="00D35DEF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6650D2" w:rsidRDefault="006650D2" w:rsidP="00DF7879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DF7879" w:rsidRDefault="00343E6B" w:rsidP="00DF7879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C4377" w:rsidRDefault="003C4377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D79A6" w:rsidRPr="000D7E15" w:rsidRDefault="00DD79A6" w:rsidP="00343E6B">
            <w:pPr>
              <w:jc w:val="center"/>
              <w:rPr>
                <w:rFonts w:ascii="Calibri" w:hAnsi="Calibri"/>
                <w:u w:val="single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</w:tr>
    </w:tbl>
    <w:p w:rsidR="007F011F" w:rsidRPr="000D7E15" w:rsidRDefault="007F011F" w:rsidP="0059498C">
      <w:pPr>
        <w:rPr>
          <w:rFonts w:ascii="Calibri" w:hAnsi="Calibri"/>
        </w:rPr>
      </w:pPr>
    </w:p>
    <w:p w:rsidR="00F17234" w:rsidRPr="000D7E15" w:rsidRDefault="00F17234" w:rsidP="00F17234">
      <w:pPr>
        <w:ind w:right="-695"/>
        <w:rPr>
          <w:rFonts w:ascii="Calibri" w:hAnsi="Calibri"/>
          <w:b/>
          <w:bCs/>
          <w:u w:val="single"/>
        </w:rPr>
      </w:pPr>
    </w:p>
    <w:sectPr w:rsidR="00F17234" w:rsidRPr="000D7E15" w:rsidSect="00B47637">
      <w:headerReference w:type="default" r:id="rId7"/>
      <w:footerReference w:type="even" r:id="rId8"/>
      <w:footerReference w:type="default" r:id="rId9"/>
      <w:pgSz w:w="11905" w:h="16837"/>
      <w:pgMar w:top="1157" w:right="1440" w:bottom="115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533" w:rsidRDefault="00977533">
      <w:r>
        <w:separator/>
      </w:r>
    </w:p>
  </w:endnote>
  <w:endnote w:type="continuationSeparator" w:id="0">
    <w:p w:rsidR="00977533" w:rsidRDefault="0097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3261F">
      <w:rPr>
        <w:rStyle w:val="slostrnky"/>
        <w:noProof/>
      </w:rPr>
      <w:t>2</w: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533" w:rsidRDefault="00977533">
      <w:r>
        <w:separator/>
      </w:r>
    </w:p>
  </w:footnote>
  <w:footnote w:type="continuationSeparator" w:id="0">
    <w:p w:rsidR="00977533" w:rsidRDefault="00977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8C" w:rsidRDefault="009154C7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-687070</wp:posOffset>
          </wp:positionV>
          <wp:extent cx="4561205" cy="690880"/>
          <wp:effectExtent l="0" t="0" r="0" b="0"/>
          <wp:wrapSquare wrapText="bothSides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120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6BEC"/>
    <w:multiLevelType w:val="singleLevel"/>
    <w:tmpl w:val="27D470D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</w:abstractNum>
  <w:abstractNum w:abstractNumId="1" w15:restartNumberingAfterBreak="0">
    <w:nsid w:val="20756CC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C031E4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539A073B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4070D5"/>
    <w:multiLevelType w:val="hybridMultilevel"/>
    <w:tmpl w:val="534ACD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D116EA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BC"/>
    <w:rsid w:val="000201C4"/>
    <w:rsid w:val="00025939"/>
    <w:rsid w:val="000458CF"/>
    <w:rsid w:val="000843A1"/>
    <w:rsid w:val="000946E1"/>
    <w:rsid w:val="000A35E0"/>
    <w:rsid w:val="000D0012"/>
    <w:rsid w:val="000D7E15"/>
    <w:rsid w:val="000E4716"/>
    <w:rsid w:val="000F0BD2"/>
    <w:rsid w:val="000F1DFE"/>
    <w:rsid w:val="0011736D"/>
    <w:rsid w:val="0014231A"/>
    <w:rsid w:val="00151800"/>
    <w:rsid w:val="00165EF1"/>
    <w:rsid w:val="00177690"/>
    <w:rsid w:val="00180969"/>
    <w:rsid w:val="0018764C"/>
    <w:rsid w:val="00196453"/>
    <w:rsid w:val="001A6432"/>
    <w:rsid w:val="001A71DA"/>
    <w:rsid w:val="001B28EF"/>
    <w:rsid w:val="001C0C46"/>
    <w:rsid w:val="001F17BC"/>
    <w:rsid w:val="001F4357"/>
    <w:rsid w:val="001F7472"/>
    <w:rsid w:val="00201A44"/>
    <w:rsid w:val="00230C17"/>
    <w:rsid w:val="00283FA8"/>
    <w:rsid w:val="0029159D"/>
    <w:rsid w:val="002B6EEF"/>
    <w:rsid w:val="002E0AAE"/>
    <w:rsid w:val="002E2610"/>
    <w:rsid w:val="002F2103"/>
    <w:rsid w:val="002F4529"/>
    <w:rsid w:val="002F4539"/>
    <w:rsid w:val="002F540D"/>
    <w:rsid w:val="00301DA5"/>
    <w:rsid w:val="00307EE9"/>
    <w:rsid w:val="003243A0"/>
    <w:rsid w:val="00325D00"/>
    <w:rsid w:val="00343E6B"/>
    <w:rsid w:val="00344249"/>
    <w:rsid w:val="0034446F"/>
    <w:rsid w:val="00346547"/>
    <w:rsid w:val="00360A88"/>
    <w:rsid w:val="003708A3"/>
    <w:rsid w:val="00394904"/>
    <w:rsid w:val="003A6554"/>
    <w:rsid w:val="003C4377"/>
    <w:rsid w:val="003D7399"/>
    <w:rsid w:val="004117A7"/>
    <w:rsid w:val="00416852"/>
    <w:rsid w:val="00422573"/>
    <w:rsid w:val="004361F9"/>
    <w:rsid w:val="004367B5"/>
    <w:rsid w:val="0044375D"/>
    <w:rsid w:val="004520F5"/>
    <w:rsid w:val="00462C49"/>
    <w:rsid w:val="0047139A"/>
    <w:rsid w:val="004F70A7"/>
    <w:rsid w:val="00500779"/>
    <w:rsid w:val="00500C2E"/>
    <w:rsid w:val="00526151"/>
    <w:rsid w:val="00534493"/>
    <w:rsid w:val="00576FF1"/>
    <w:rsid w:val="00580214"/>
    <w:rsid w:val="0059498C"/>
    <w:rsid w:val="005B2D49"/>
    <w:rsid w:val="005C4000"/>
    <w:rsid w:val="006521FA"/>
    <w:rsid w:val="00660CA8"/>
    <w:rsid w:val="006635D2"/>
    <w:rsid w:val="006647BC"/>
    <w:rsid w:val="006650D2"/>
    <w:rsid w:val="00671BFC"/>
    <w:rsid w:val="006760DD"/>
    <w:rsid w:val="006864D2"/>
    <w:rsid w:val="006944A7"/>
    <w:rsid w:val="006A641F"/>
    <w:rsid w:val="006A741C"/>
    <w:rsid w:val="006C6775"/>
    <w:rsid w:val="006D3B14"/>
    <w:rsid w:val="006F0373"/>
    <w:rsid w:val="007065B8"/>
    <w:rsid w:val="00715B55"/>
    <w:rsid w:val="007175CE"/>
    <w:rsid w:val="00734378"/>
    <w:rsid w:val="0074225C"/>
    <w:rsid w:val="007451D9"/>
    <w:rsid w:val="00745500"/>
    <w:rsid w:val="00747BB0"/>
    <w:rsid w:val="0075307E"/>
    <w:rsid w:val="00774431"/>
    <w:rsid w:val="00780380"/>
    <w:rsid w:val="007917A3"/>
    <w:rsid w:val="007A2763"/>
    <w:rsid w:val="007A6188"/>
    <w:rsid w:val="007C33BC"/>
    <w:rsid w:val="007D2CDE"/>
    <w:rsid w:val="007F011F"/>
    <w:rsid w:val="0080345D"/>
    <w:rsid w:val="008257B9"/>
    <w:rsid w:val="00826385"/>
    <w:rsid w:val="0083261F"/>
    <w:rsid w:val="00843E8C"/>
    <w:rsid w:val="00867BA3"/>
    <w:rsid w:val="0087010A"/>
    <w:rsid w:val="008758ED"/>
    <w:rsid w:val="00890715"/>
    <w:rsid w:val="008B6751"/>
    <w:rsid w:val="008E7955"/>
    <w:rsid w:val="008F14BB"/>
    <w:rsid w:val="008F4226"/>
    <w:rsid w:val="008F447D"/>
    <w:rsid w:val="0090002E"/>
    <w:rsid w:val="009105F5"/>
    <w:rsid w:val="00914117"/>
    <w:rsid w:val="00914D17"/>
    <w:rsid w:val="009154C7"/>
    <w:rsid w:val="00933E56"/>
    <w:rsid w:val="00943518"/>
    <w:rsid w:val="00943B21"/>
    <w:rsid w:val="009459D1"/>
    <w:rsid w:val="009476CC"/>
    <w:rsid w:val="00977533"/>
    <w:rsid w:val="00992B23"/>
    <w:rsid w:val="00995F50"/>
    <w:rsid w:val="0099650C"/>
    <w:rsid w:val="009B1807"/>
    <w:rsid w:val="009D0EA6"/>
    <w:rsid w:val="009E62E6"/>
    <w:rsid w:val="00A003FA"/>
    <w:rsid w:val="00A02084"/>
    <w:rsid w:val="00A13796"/>
    <w:rsid w:val="00A14CB5"/>
    <w:rsid w:val="00A20FEA"/>
    <w:rsid w:val="00A34666"/>
    <w:rsid w:val="00A36AD4"/>
    <w:rsid w:val="00A377BD"/>
    <w:rsid w:val="00A3782F"/>
    <w:rsid w:val="00A77D78"/>
    <w:rsid w:val="00A8351E"/>
    <w:rsid w:val="00AA0D0F"/>
    <w:rsid w:val="00AB6D21"/>
    <w:rsid w:val="00AC2406"/>
    <w:rsid w:val="00AD6A5C"/>
    <w:rsid w:val="00AE0A26"/>
    <w:rsid w:val="00AE7D76"/>
    <w:rsid w:val="00AF1512"/>
    <w:rsid w:val="00B02CDF"/>
    <w:rsid w:val="00B05767"/>
    <w:rsid w:val="00B16C5B"/>
    <w:rsid w:val="00B23137"/>
    <w:rsid w:val="00B276BC"/>
    <w:rsid w:val="00B47637"/>
    <w:rsid w:val="00B57352"/>
    <w:rsid w:val="00B628C5"/>
    <w:rsid w:val="00B6607F"/>
    <w:rsid w:val="00B72CD0"/>
    <w:rsid w:val="00B80444"/>
    <w:rsid w:val="00B805A2"/>
    <w:rsid w:val="00B91C8F"/>
    <w:rsid w:val="00B92F07"/>
    <w:rsid w:val="00BA267F"/>
    <w:rsid w:val="00BD3AB4"/>
    <w:rsid w:val="00BE06B4"/>
    <w:rsid w:val="00BF560B"/>
    <w:rsid w:val="00C11C6B"/>
    <w:rsid w:val="00C2271F"/>
    <w:rsid w:val="00C23EDE"/>
    <w:rsid w:val="00C3143E"/>
    <w:rsid w:val="00C418F8"/>
    <w:rsid w:val="00C5424D"/>
    <w:rsid w:val="00C56657"/>
    <w:rsid w:val="00C648F3"/>
    <w:rsid w:val="00CA030E"/>
    <w:rsid w:val="00CA6AA1"/>
    <w:rsid w:val="00CB5B05"/>
    <w:rsid w:val="00CF031A"/>
    <w:rsid w:val="00D02437"/>
    <w:rsid w:val="00D143AD"/>
    <w:rsid w:val="00D164E8"/>
    <w:rsid w:val="00D27379"/>
    <w:rsid w:val="00D27F4D"/>
    <w:rsid w:val="00D33670"/>
    <w:rsid w:val="00D35DEF"/>
    <w:rsid w:val="00D60E86"/>
    <w:rsid w:val="00D6453D"/>
    <w:rsid w:val="00DB36C4"/>
    <w:rsid w:val="00DB3EA6"/>
    <w:rsid w:val="00DC2FDC"/>
    <w:rsid w:val="00DD12ED"/>
    <w:rsid w:val="00DD2C5B"/>
    <w:rsid w:val="00DD406E"/>
    <w:rsid w:val="00DD79A6"/>
    <w:rsid w:val="00DE27EB"/>
    <w:rsid w:val="00DE7831"/>
    <w:rsid w:val="00DF7879"/>
    <w:rsid w:val="00E0774C"/>
    <w:rsid w:val="00E2341A"/>
    <w:rsid w:val="00E319D4"/>
    <w:rsid w:val="00E468EB"/>
    <w:rsid w:val="00E52C3E"/>
    <w:rsid w:val="00E5605B"/>
    <w:rsid w:val="00E57030"/>
    <w:rsid w:val="00E67E62"/>
    <w:rsid w:val="00E817C7"/>
    <w:rsid w:val="00E81E7B"/>
    <w:rsid w:val="00E8553D"/>
    <w:rsid w:val="00E856C3"/>
    <w:rsid w:val="00EA335F"/>
    <w:rsid w:val="00EB120A"/>
    <w:rsid w:val="00EC11D6"/>
    <w:rsid w:val="00EE0322"/>
    <w:rsid w:val="00EF42FE"/>
    <w:rsid w:val="00EF627B"/>
    <w:rsid w:val="00F01D2F"/>
    <w:rsid w:val="00F17234"/>
    <w:rsid w:val="00F25230"/>
    <w:rsid w:val="00F27C44"/>
    <w:rsid w:val="00F401E9"/>
    <w:rsid w:val="00F404CF"/>
    <w:rsid w:val="00F416D1"/>
    <w:rsid w:val="00F41ADC"/>
    <w:rsid w:val="00F71A36"/>
    <w:rsid w:val="00F81D72"/>
    <w:rsid w:val="00F872FD"/>
    <w:rsid w:val="00F908D3"/>
    <w:rsid w:val="00FA2CFD"/>
    <w:rsid w:val="00FC0CAD"/>
    <w:rsid w:val="00FF3E71"/>
    <w:rsid w:val="00FF4129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C95FFA"/>
  <w14:defaultImageDpi w14:val="0"/>
  <w15:docId w15:val="{975ADFE2-5896-47A2-8308-5D70D913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jc w:val="both"/>
      <w:outlineLvl w:val="1"/>
    </w:pPr>
    <w:rPr>
      <w:rFonts w:ascii="Arial" w:hAnsi="Arial"/>
      <w:u w:val="singl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outlineLvl w:val="2"/>
    </w:pPr>
    <w:rPr>
      <w:rFonts w:ascii="Arial" w:hAnsi="Arial"/>
      <w:b/>
      <w:color w:val="0000FF"/>
      <w:sz w:val="28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framePr w:hSpace="141" w:wrap="notBeside" w:hAnchor="margin" w:y="484"/>
      <w:outlineLvl w:val="3"/>
    </w:pPr>
    <w:rPr>
      <w:rFonts w:ascii="Arial" w:hAnsi="Arial"/>
      <w:b/>
      <w:color w:val="0000FF"/>
      <w:sz w:val="28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framePr w:hSpace="141" w:wrap="notBeside" w:hAnchor="margin" w:y="484"/>
      <w:ind w:right="-5265"/>
      <w:outlineLvl w:val="4"/>
    </w:pPr>
    <w:rPr>
      <w:rFonts w:ascii="Arial" w:hAnsi="Arial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framePr w:hSpace="141" w:wrap="notBeside" w:hAnchor="margin" w:y="484"/>
      <w:outlineLvl w:val="5"/>
    </w:pPr>
    <w:rPr>
      <w:rFonts w:ascii="Arial" w:hAnsi="Arial"/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rFonts w:ascii="Arial" w:hAnsi="Arial"/>
      <w:b/>
      <w:i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pPr>
      <w:keepNext/>
      <w:jc w:val="both"/>
      <w:outlineLvl w:val="7"/>
    </w:pPr>
    <w:rPr>
      <w:rFonts w:ascii="Arial" w:hAnsi="Arial"/>
      <w:b/>
      <w:u w:val="single"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framePr w:hSpace="141" w:wrap="notBeside" w:hAnchor="margin" w:y="484"/>
      <w:jc w:val="both"/>
      <w:outlineLvl w:val="8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libri Light" w:eastAsia="Times New Roman" w:hAnsi="Calibri Light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pPr>
      <w:ind w:left="1018" w:hanging="1018"/>
      <w:jc w:val="both"/>
    </w:pPr>
    <w:rPr>
      <w:rFonts w:ascii="Arial" w:hAnsi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Arial" w:hAnsi="Arial"/>
      <w:u w:val="singl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8B67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344249"/>
    <w:rPr>
      <w:rFonts w:cs="Times New Roman"/>
      <w:b/>
    </w:rPr>
  </w:style>
  <w:style w:type="paragraph" w:styleId="Zhlav">
    <w:name w:val="header"/>
    <w:basedOn w:val="Normln"/>
    <w:link w:val="ZhlavChar"/>
    <w:uiPriority w:val="99"/>
    <w:rsid w:val="003442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8257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586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ZMĚNY</vt:lpstr>
    </vt:vector>
  </TitlesOfParts>
  <Company>D.I.S., spol. s r.o.</Company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ZMĚNY</dc:title>
  <dc:subject/>
  <dc:creator>Ing. Zuzana Štandlová</dc:creator>
  <cp:keywords/>
  <dc:description/>
  <cp:lastModifiedBy>Petr Hejl, DiS.</cp:lastModifiedBy>
  <cp:revision>14</cp:revision>
  <cp:lastPrinted>2019-07-31T16:49:00Z</cp:lastPrinted>
  <dcterms:created xsi:type="dcterms:W3CDTF">2019-07-12T10:59:00Z</dcterms:created>
  <dcterms:modified xsi:type="dcterms:W3CDTF">2019-07-31T17:03:00Z</dcterms:modified>
</cp:coreProperties>
</file>